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E9" w:rsidRDefault="000467B3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0E9" w:rsidRDefault="00DC20E9">
      <w:pPr>
        <w:pStyle w:val="af6"/>
        <w:rPr>
          <w:sz w:val="20"/>
        </w:rPr>
      </w:pPr>
    </w:p>
    <w:p w:rsidR="00DC20E9" w:rsidRDefault="00DC20E9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DC20E9">
        <w:trPr>
          <w:trHeight w:val="817"/>
        </w:trPr>
        <w:tc>
          <w:tcPr>
            <w:tcW w:w="2968" w:type="dxa"/>
          </w:tcPr>
          <w:p w:rsidR="00DC20E9" w:rsidRDefault="000467B3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DC20E9" w:rsidRDefault="000467B3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DC20E9" w:rsidRDefault="000467B3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DC20E9" w:rsidRDefault="000467B3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DC20E9" w:rsidRDefault="000467B3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DC20E9" w:rsidRDefault="000467B3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DC20E9" w:rsidRDefault="00DC20E9">
      <w:pPr>
        <w:pStyle w:val="af6"/>
        <w:spacing w:before="6"/>
        <w:rPr>
          <w:sz w:val="8"/>
        </w:rPr>
      </w:pPr>
    </w:p>
    <w:p w:rsidR="00DC20E9" w:rsidRDefault="00DC20E9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DC20E9" w:rsidRDefault="009C1EA2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 РЕШЕНИЯ</w:t>
      </w:r>
      <w:bookmarkStart w:id="0" w:name="_GoBack"/>
      <w:bookmarkEnd w:id="0"/>
    </w:p>
    <w:p w:rsidR="00DC20E9" w:rsidRDefault="000467B3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DC20E9" w:rsidRDefault="000467B3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DC20E9" w:rsidRDefault="00DC20E9">
      <w:pPr>
        <w:pStyle w:val="af6"/>
        <w:spacing w:before="9"/>
        <w:rPr>
          <w:b/>
          <w:sz w:val="32"/>
        </w:rPr>
      </w:pPr>
    </w:p>
    <w:p w:rsidR="00DC20E9" w:rsidRDefault="000467B3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Голубинское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DC20E9" w:rsidRDefault="000467B3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Голубинское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DC20E9" w:rsidRDefault="00DC20E9">
      <w:pPr>
        <w:pStyle w:val="af6"/>
        <w:spacing w:before="4"/>
        <w:rPr>
          <w:b/>
          <w:i/>
          <w:sz w:val="31"/>
        </w:rPr>
      </w:pPr>
    </w:p>
    <w:p w:rsidR="00DC20E9" w:rsidRDefault="000467B3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Земельным </w:t>
      </w:r>
      <w:r>
        <w:rPr>
          <w:sz w:val="28"/>
        </w:rPr>
        <w:t>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DC20E9" w:rsidRDefault="000467B3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</w:t>
      </w:r>
      <w:r>
        <w:rPr>
          <w:sz w:val="28"/>
        </w:rPr>
        <w:t>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DC20E9" w:rsidRDefault="000467B3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DC20E9" w:rsidRDefault="000467B3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DC20E9" w:rsidRDefault="00DC20E9">
      <w:pPr>
        <w:jc w:val="both"/>
        <w:rPr>
          <w:sz w:val="28"/>
        </w:rPr>
        <w:sectPr w:rsidR="00DC20E9">
          <w:pgSz w:w="11900" w:h="16820"/>
          <w:pgMar w:top="400" w:right="820" w:bottom="280" w:left="980" w:header="720" w:footer="720" w:gutter="0"/>
          <w:cols w:space="720"/>
        </w:sectPr>
      </w:pPr>
    </w:p>
    <w:p w:rsidR="00DC20E9" w:rsidRDefault="000467B3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DC20E9" w:rsidRDefault="00DC20E9">
      <w:pPr>
        <w:pStyle w:val="af6"/>
        <w:spacing w:before="1"/>
        <w:rPr>
          <w:rFonts w:ascii="Courier New"/>
          <w:sz w:val="29"/>
        </w:rPr>
      </w:pPr>
    </w:p>
    <w:p w:rsidR="00DC20E9" w:rsidRDefault="000467B3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DC20E9" w:rsidRDefault="00DC20E9">
      <w:pPr>
        <w:pStyle w:val="af6"/>
        <w:spacing w:before="6"/>
        <w:rPr>
          <w:sz w:val="36"/>
        </w:rPr>
      </w:pPr>
    </w:p>
    <w:p w:rsidR="00DC20E9" w:rsidRDefault="000467B3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Голубинское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DC20E9" w:rsidRDefault="000467B3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DC20E9" w:rsidRDefault="000467B3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Голубинское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DC20E9" w:rsidRDefault="000467B3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DC20E9" w:rsidRDefault="000467B3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DC20E9" w:rsidRDefault="000467B3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DC20E9" w:rsidRDefault="000467B3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DC20E9" w:rsidRDefault="00DC20E9">
      <w:pPr>
        <w:pStyle w:val="af6"/>
        <w:rPr>
          <w:sz w:val="30"/>
        </w:rPr>
      </w:pPr>
    </w:p>
    <w:p w:rsidR="00DC20E9" w:rsidRDefault="00DC20E9">
      <w:pPr>
        <w:pStyle w:val="af6"/>
        <w:rPr>
          <w:sz w:val="30"/>
        </w:rPr>
      </w:pPr>
    </w:p>
    <w:p w:rsidR="00DC20E9" w:rsidRDefault="00DC20E9">
      <w:pPr>
        <w:pStyle w:val="af6"/>
        <w:spacing w:before="8"/>
        <w:rPr>
          <w:sz w:val="37"/>
        </w:rPr>
      </w:pPr>
    </w:p>
    <w:p w:rsidR="00DC20E9" w:rsidRDefault="000467B3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DC20E9" w:rsidRDefault="000467B3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</w:t>
      </w:r>
      <w:r>
        <w:rPr>
          <w:b/>
          <w:spacing w:val="-2"/>
          <w:sz w:val="28"/>
        </w:rPr>
        <w:t>айкина</w:t>
      </w:r>
      <w:proofErr w:type="spellEnd"/>
    </w:p>
    <w:p w:rsidR="00DC20E9" w:rsidRDefault="00DC20E9">
      <w:pPr>
        <w:jc w:val="both"/>
        <w:rPr>
          <w:sz w:val="28"/>
        </w:rPr>
        <w:sectPr w:rsidR="00DC20E9">
          <w:pgSz w:w="11900" w:h="16820"/>
          <w:pgMar w:top="620" w:right="820" w:bottom="280" w:left="980" w:header="720" w:footer="720" w:gutter="0"/>
          <w:cols w:space="720"/>
        </w:sectPr>
      </w:pPr>
    </w:p>
    <w:p w:rsidR="00DC20E9" w:rsidRDefault="000467B3">
      <w:pPr>
        <w:pStyle w:val="af6"/>
        <w:spacing w:before="70"/>
        <w:ind w:left="7088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DC20E9" w:rsidRDefault="00DC20E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20E9" w:rsidRDefault="000467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Голубинское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DC20E9" w:rsidRDefault="000467B3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DC20E9" w:rsidRDefault="000467B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минимально допустимого уровня </w:t>
      </w:r>
      <w:r>
        <w:rPr>
          <w:rFonts w:ascii="Times New Roman" w:hAnsi="Times New Roman" w:cs="Times New Roman"/>
          <w:color w:val="auto"/>
          <w:sz w:val="26"/>
          <w:szCs w:val="26"/>
        </w:rPr>
        <w:t>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DC20E9" w:rsidRDefault="000467B3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Голубинское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</w:t>
      </w:r>
      <w:r>
        <w:t>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</w:t>
      </w:r>
      <w:r>
        <w:t>исарайский район Республики Крым.</w:t>
      </w:r>
    </w:p>
    <w:p w:rsidR="00DC20E9" w:rsidRDefault="000467B3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</w:t>
      </w:r>
      <w:r>
        <w:t>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DC20E9" w:rsidRDefault="000467B3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</w:t>
      </w:r>
      <w:r>
        <w:t xml:space="preserve">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 xml:space="preserve">пункте 1 части 3 статьи </w:t>
        </w:r>
        <w:r>
          <w:t>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DC20E9" w:rsidRDefault="000467B3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</w:t>
      </w:r>
      <w:r>
        <w:t>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</w:t>
      </w:r>
      <w:r>
        <w:t>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DC20E9" w:rsidRDefault="000467B3">
      <w:pPr>
        <w:ind w:firstLine="709"/>
        <w:jc w:val="both"/>
      </w:pPr>
      <w:r>
        <w:t xml:space="preserve">1.1.5. Перечень областей нормирования, для </w:t>
      </w:r>
      <w:r>
        <w:t>которых в МНГП АСП установлены расчетные показатели, сформирован на основе видов ОМЗ:</w:t>
      </w:r>
    </w:p>
    <w:p w:rsidR="00DC20E9" w:rsidRDefault="000467B3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DC20E9" w:rsidRDefault="000467B3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DC20E9" w:rsidRDefault="000467B3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DC20E9" w:rsidRDefault="000467B3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Голубинское</w:t>
      </w:r>
      <w:proofErr w:type="spellEnd"/>
      <w:r>
        <w:rPr>
          <w:rFonts w:eastAsiaTheme="majorEastAsia"/>
          <w:color w:val="000000" w:themeColor="text1"/>
        </w:rPr>
        <w:t xml:space="preserve"> с</w:t>
      </w:r>
      <w:r>
        <w:rPr>
          <w:rFonts w:eastAsiaTheme="majorEastAsia"/>
          <w:color w:val="000000" w:themeColor="text1"/>
        </w:rPr>
        <w:t>ельское поселение Бахчисарайского района</w:t>
      </w:r>
      <w:r>
        <w:t xml:space="preserve"> Республики Крым. </w:t>
      </w:r>
    </w:p>
    <w:p w:rsidR="00DC20E9" w:rsidRDefault="000467B3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DC20E9" w:rsidRDefault="000467B3">
      <w:pPr>
        <w:ind w:firstLine="709"/>
        <w:jc w:val="both"/>
      </w:pPr>
      <w:r>
        <w:t>1.1.6.  Местные нормативы обеспечивают согласованность решений стратегическ</w:t>
      </w:r>
      <w:r>
        <w:t>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DC20E9" w:rsidRDefault="000467B3">
      <w:pPr>
        <w:ind w:firstLine="709"/>
        <w:jc w:val="both"/>
      </w:pPr>
      <w:r>
        <w:t>1.1.7. МНГП АСП разработаны с учетом</w:t>
      </w:r>
      <w:r>
        <w:t xml:space="preserve">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 xml:space="preserve">, предложений органов местного самоуправления </w:t>
      </w:r>
      <w:r>
        <w:t>и заинтересованных лиц.</w:t>
      </w:r>
    </w:p>
    <w:p w:rsidR="00DC20E9" w:rsidRDefault="000467B3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постановлени</w:t>
      </w:r>
      <w:r>
        <w:t xml:space="preserve">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о</w:t>
      </w:r>
      <w:r>
        <w:t>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DC20E9" w:rsidRDefault="000467B3">
      <w:pPr>
        <w:pStyle w:val="affa"/>
        <w:spacing w:before="0" w:after="0"/>
        <w:ind w:firstLine="709"/>
      </w:pPr>
      <w:r>
        <w:t>1.1.9</w:t>
      </w:r>
      <w:r>
        <w:t xml:space="preserve">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DC20E9" w:rsidRDefault="000467B3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объект</w:t>
      </w:r>
      <w:r>
        <w:t>ами местного значения являются количественной характеристикой системы указанных объектов и выражены в виде:</w:t>
      </w:r>
    </w:p>
    <w:p w:rsidR="00DC20E9" w:rsidRDefault="000467B3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обеспечен</w:t>
      </w:r>
      <w:r>
        <w:t xml:space="preserve">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DC20E9" w:rsidRDefault="000467B3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DC20E9" w:rsidRDefault="000467B3">
      <w:pPr>
        <w:pStyle w:val="affa"/>
        <w:spacing w:before="0" w:after="0"/>
        <w:ind w:firstLine="709"/>
      </w:pPr>
      <w:r>
        <w:t>- интенсивности использован</w:t>
      </w:r>
      <w:r>
        <w:t>ия территории.</w:t>
      </w:r>
    </w:p>
    <w:p w:rsidR="00DC20E9" w:rsidRDefault="000467B3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DC20E9" w:rsidRDefault="000467B3">
      <w:pPr>
        <w:ind w:firstLine="709"/>
        <w:jc w:val="both"/>
      </w:pPr>
      <w:r>
        <w:t>1.1.12. Дифференцированный подход к нормированию значений расчетных показателей на территории Голубинского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отно</w:t>
      </w:r>
      <w:r>
        <w:rPr>
          <w:bCs/>
        </w:rPr>
        <w:t>сится к зоне Б.</w:t>
      </w:r>
      <w:r>
        <w:t xml:space="preserve"> </w:t>
      </w:r>
    </w:p>
    <w:p w:rsidR="00DC20E9" w:rsidRDefault="000467B3">
      <w:pPr>
        <w:ind w:firstLine="709"/>
        <w:jc w:val="both"/>
      </w:pPr>
      <w:r>
        <w:t>1.1.13. МНГП АСП структурно включают три части (раздела):</w:t>
      </w:r>
    </w:p>
    <w:p w:rsidR="00DC20E9" w:rsidRDefault="000467B3">
      <w:pPr>
        <w:ind w:firstLine="709"/>
        <w:jc w:val="both"/>
      </w:pPr>
      <w:r>
        <w:t xml:space="preserve"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показатели </w:t>
      </w:r>
      <w:r>
        <w:t>максимально допустимого уровня территориальной доступности объектов местного значения для населения сельского поселения;</w:t>
      </w:r>
    </w:p>
    <w:p w:rsidR="00DC20E9" w:rsidRDefault="000467B3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DC20E9" w:rsidRDefault="000467B3">
      <w:pPr>
        <w:ind w:firstLine="709"/>
        <w:jc w:val="both"/>
      </w:pPr>
      <w:r>
        <w:lastRenderedPageBreak/>
        <w:t>–</w:t>
      </w:r>
      <w:r>
        <w:t xml:space="preserve">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DC20E9" w:rsidRDefault="000467B3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DC20E9" w:rsidRDefault="000467B3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245"/>
      <w:bookmarkStart w:id="6" w:name="Par118"/>
      <w:bookmarkStart w:id="7" w:name="Par16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DC20E9" w:rsidRDefault="000467B3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DC20E9" w:rsidRDefault="000467B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DC20E9">
        <w:tc>
          <w:tcPr>
            <w:tcW w:w="54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DC20E9" w:rsidRDefault="000467B3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DC20E9">
        <w:tc>
          <w:tcPr>
            <w:tcW w:w="9344" w:type="dxa"/>
            <w:gridSpan w:val="4"/>
          </w:tcPr>
          <w:p w:rsidR="00DC20E9" w:rsidRDefault="000467B3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DC20E9" w:rsidRDefault="000467B3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DC20E9" w:rsidRDefault="000467B3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DC20E9" w:rsidRDefault="000467B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DC20E9">
        <w:trPr>
          <w:trHeight w:val="719"/>
        </w:trPr>
        <w:tc>
          <w:tcPr>
            <w:tcW w:w="54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C20E9">
        <w:trPr>
          <w:trHeight w:val="719"/>
        </w:trPr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DC20E9">
        <w:trPr>
          <w:trHeight w:val="719"/>
        </w:trPr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DC20E9">
        <w:trPr>
          <w:trHeight w:val="703"/>
        </w:trPr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C20E9">
        <w:trPr>
          <w:trHeight w:val="873"/>
        </w:trPr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DC20E9">
        <w:trPr>
          <w:trHeight w:val="1126"/>
        </w:trPr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DC20E9">
        <w:tc>
          <w:tcPr>
            <w:tcW w:w="9344" w:type="dxa"/>
            <w:gridSpan w:val="4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DC20E9" w:rsidRDefault="000467B3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DC20E9" w:rsidRDefault="000467B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DC20E9">
        <w:tc>
          <w:tcPr>
            <w:tcW w:w="54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DC20E9">
        <w:trPr>
          <w:trHeight w:val="852"/>
        </w:trPr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C20E9" w:rsidRDefault="00DC20E9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DC20E9" w:rsidRDefault="00DC20E9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DC20E9" w:rsidRDefault="00DC20E9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DC20E9" w:rsidRDefault="000467B3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DC20E9" w:rsidRDefault="00DC20E9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DC20E9" w:rsidRDefault="000467B3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DC20E9" w:rsidRDefault="000467B3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DC20E9" w:rsidRDefault="000467B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DC20E9">
        <w:tc>
          <w:tcPr>
            <w:tcW w:w="54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DC20E9"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DC20E9" w:rsidRDefault="000467B3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DC20E9"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DC20E9" w:rsidRDefault="000467B3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DC20E9" w:rsidRDefault="000467B3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DC20E9">
        <w:trPr>
          <w:trHeight w:val="699"/>
        </w:trPr>
        <w:tc>
          <w:tcPr>
            <w:tcW w:w="54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DC20E9">
        <w:trPr>
          <w:trHeight w:val="3292"/>
        </w:trPr>
        <w:tc>
          <w:tcPr>
            <w:tcW w:w="540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DC20E9" w:rsidRDefault="000467B3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DC20E9" w:rsidRDefault="000467B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C20E9" w:rsidRDefault="000467B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DC20E9" w:rsidRDefault="000467B3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DC20E9">
        <w:trPr>
          <w:trHeight w:val="1050"/>
        </w:trPr>
        <w:tc>
          <w:tcPr>
            <w:tcW w:w="540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DC20E9" w:rsidRDefault="00DC20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DC20E9" w:rsidRDefault="000467B3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DC20E9">
        <w:tc>
          <w:tcPr>
            <w:tcW w:w="9344" w:type="dxa"/>
            <w:gridSpan w:val="4"/>
          </w:tcPr>
          <w:p w:rsidR="00DC20E9" w:rsidRDefault="000467B3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DC20E9" w:rsidRDefault="000467B3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DC20E9" w:rsidRDefault="000467B3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</w:t>
            </w:r>
            <w:r>
              <w:t>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DC20E9" w:rsidRDefault="000467B3">
      <w:pPr>
        <w:spacing w:after="200" w:line="276" w:lineRule="auto"/>
      </w:pPr>
      <w:r>
        <w:lastRenderedPageBreak/>
        <w:br w:type="page"/>
      </w:r>
    </w:p>
    <w:p w:rsidR="00DC20E9" w:rsidRDefault="000467B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31"/>
      <w:bookmarkStart w:id="11" w:name="Par1306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7"/>
      <w:bookmarkStart w:id="16" w:name="Par1483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DC20E9" w:rsidRDefault="000467B3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DC20E9" w:rsidRDefault="000467B3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Голуб</w:t>
      </w:r>
      <w:r>
        <w:rPr>
          <w:lang w:val="ru-RU"/>
        </w:rPr>
        <w:t>инского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</w:t>
      </w:r>
      <w:r>
        <w:rPr>
          <w:lang w:val="ru-RU"/>
        </w:rPr>
        <w:t>ментации по планировке территории;</w:t>
      </w:r>
    </w:p>
    <w:p w:rsidR="00DC20E9" w:rsidRDefault="000467B3">
      <w:pPr>
        <w:pStyle w:val="affe"/>
        <w:rPr>
          <w:lang w:val="ru-RU"/>
        </w:rPr>
      </w:pPr>
      <w:r>
        <w:rPr>
          <w:lang w:val="ru-RU"/>
        </w:rPr>
        <w:t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Голубинского сельского поселения.</w:t>
      </w:r>
    </w:p>
    <w:p w:rsidR="00DC20E9" w:rsidRDefault="000467B3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0"/>
      <w:bookmarkStart w:id="21" w:name="OLE_LINK79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DC20E9" w:rsidRDefault="000467B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DC20E9" w:rsidRDefault="000467B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</w:t>
      </w:r>
      <w:r>
        <w:rPr>
          <w:lang w:val="ru-RU"/>
        </w:rPr>
        <w:t>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DC20E9" w:rsidRDefault="000467B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</w:t>
      </w:r>
      <w:r>
        <w:rPr>
          <w:lang w:val="ru-RU"/>
        </w:rPr>
        <w:t xml:space="preserve">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>, муниципальных правовых актов Бахчисарайского района и Голубинского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DC20E9" w:rsidRDefault="000467B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</w:t>
      </w:r>
      <w:r>
        <w:rPr>
          <w:lang w:val="ru-RU"/>
        </w:rPr>
        <w:t xml:space="preserve"> их в нормативах градостроительного проектирования Голубинского сельского поселения;</w:t>
      </w:r>
    </w:p>
    <w:p w:rsidR="00DC20E9" w:rsidRDefault="000467B3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DC20E9" w:rsidRDefault="000467B3">
      <w:pPr>
        <w:autoSpaceDE w:val="0"/>
        <w:autoSpaceDN w:val="0"/>
        <w:adjustRightInd w:val="0"/>
        <w:ind w:firstLine="567"/>
      </w:pPr>
      <w:r>
        <w:t>2.2.1. Гран</w:t>
      </w:r>
      <w:r>
        <w:t xml:space="preserve">ица муниципального образования </w:t>
      </w:r>
      <w:proofErr w:type="spellStart"/>
      <w:r>
        <w:t>Голубинское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</w:t>
      </w:r>
      <w:r>
        <w:t>лике Крым».</w:t>
      </w:r>
    </w:p>
    <w:p w:rsidR="00DC20E9" w:rsidRDefault="000467B3">
      <w:pPr>
        <w:autoSpaceDE w:val="0"/>
        <w:autoSpaceDN w:val="0"/>
        <w:adjustRightInd w:val="0"/>
        <w:ind w:firstLine="567"/>
      </w:pPr>
      <w:r>
        <w:t>2.2.2. В состав Голубинского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Голубинка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Аромат;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Богатое Ущелье;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gramStart"/>
            <w:r>
              <w:rPr>
                <w:color w:val="000000"/>
              </w:rPr>
              <w:t>Нижняя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Голубинка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Новополье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Поляна;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Путиловка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Соколиное;</w:t>
            </w:r>
          </w:p>
        </w:tc>
      </w:tr>
      <w:tr w:rsidR="00DC20E9">
        <w:trPr>
          <w:trHeight w:val="315"/>
          <w:jc w:val="center"/>
        </w:trPr>
        <w:tc>
          <w:tcPr>
            <w:tcW w:w="5000" w:type="pct"/>
            <w:vAlign w:val="center"/>
          </w:tcPr>
          <w:p w:rsidR="00DC20E9" w:rsidRDefault="000467B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Солнечноселье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DC20E9" w:rsidRDefault="000467B3">
      <w:pPr>
        <w:autoSpaceDE w:val="0"/>
        <w:autoSpaceDN w:val="0"/>
        <w:adjustRightInd w:val="0"/>
        <w:ind w:firstLine="567"/>
      </w:pPr>
      <w:r>
        <w:lastRenderedPageBreak/>
        <w:t xml:space="preserve">Административным центром сельского поселения является </w:t>
      </w:r>
      <w:r>
        <w:rPr>
          <w:color w:val="000000"/>
        </w:rPr>
        <w:t xml:space="preserve">село </w:t>
      </w:r>
      <w:proofErr w:type="spellStart"/>
      <w:r>
        <w:rPr>
          <w:color w:val="000000"/>
        </w:rPr>
        <w:t>Голубинка</w:t>
      </w:r>
      <w:proofErr w:type="spellEnd"/>
      <w:r>
        <w:t>.</w:t>
      </w:r>
    </w:p>
    <w:p w:rsidR="00DC20E9" w:rsidRDefault="000467B3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Голубинского сельского поселения </w:t>
      </w:r>
      <w:r>
        <w:rPr>
          <w:color w:val="000000"/>
          <w:shd w:val="clear" w:color="auto" w:fill="FFFFFF"/>
        </w:rPr>
        <w:t>21201 га, численность населения на 01.01.2024 составляет 4422 человек.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700"/>
      <w:bookmarkStart w:id="27" w:name="Par151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>2.3. Обоснование состава объектов местного значения, для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которых устанавливаются расчетные показатели 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2.3.1. В 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</w:t>
      </w:r>
      <w:r>
        <w:t>печенности населения объектами местного значения сельского поселения,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</w:t>
      </w:r>
      <w:r>
        <w:t>вня территориальной доступности таких объектов для населения сельского поселения.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</w:t>
      </w:r>
      <w:r>
        <w:t xml:space="preserve">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</w:t>
      </w:r>
      <w:r>
        <w:t xml:space="preserve"> 06 октября 2003 г. № 131-ФЗ «Об общих принципах организации местного самоуправления в Российской Федерации». 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Голубинского сельского поселения также перечислены в статье 6 Устава муниципального образования </w:t>
      </w:r>
      <w:proofErr w:type="spellStart"/>
      <w:r>
        <w:t>Голубинское</w:t>
      </w:r>
      <w:proofErr w:type="spellEnd"/>
      <w:r>
        <w:t xml:space="preserve"> сель</w:t>
      </w:r>
      <w:r>
        <w:t xml:space="preserve">ское поселение Бахчисарайский район Республики Крым. 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</w:t>
      </w:r>
      <w:r>
        <w:t>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DC20E9" w:rsidRDefault="000467B3">
      <w:pPr>
        <w:shd w:val="clear" w:color="auto" w:fill="FFFFFF"/>
        <w:spacing w:line="276" w:lineRule="auto"/>
        <w:ind w:firstLine="709"/>
        <w:jc w:val="both"/>
      </w:pPr>
      <w:r>
        <w:t>2.3.6. Подготовка местных нормативов Голубинского се</w:t>
      </w:r>
      <w:r>
        <w:t xml:space="preserve">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</w:t>
      </w:r>
      <w:r>
        <w:t>щие документы, утвержденные на региональном и федеральном уровне.</w:t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</w:t>
      </w:r>
      <w:r>
        <w:t xml:space="preserve">асчетными показателями объектов регионального значения могут содержать предельные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</w:t>
      </w:r>
      <w:r>
        <w:lastRenderedPageBreak/>
        <w:t>Совета минист</w:t>
      </w:r>
      <w:r>
        <w:t xml:space="preserve">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</w:t>
      </w:r>
      <w:r>
        <w:t>тельного кодекса расчетные показатели минимально допустимого уровня обеспеченности населения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</w:t>
      </w:r>
      <w:r>
        <w:t>ами градостроительного проектирования, а расчетные показатели максимально допустимого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</w:t>
      </w:r>
      <w:r>
        <w:t xml:space="preserve"> градостроительного проектирования. </w:t>
      </w:r>
      <w:proofErr w:type="gramEnd"/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r>
        <w:rPr>
          <w:bCs/>
        </w:rPr>
        <w:t>Голубинского сельского поселения</w:t>
      </w:r>
      <w:r>
        <w:t>. Поэтому предельные значения показат</w:t>
      </w:r>
      <w:r>
        <w:t>елей РНГП РК приняты за основу при подготовке аналогичных показателей местных нормативов.</w:t>
      </w:r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</w:t>
      </w:r>
      <w:r>
        <w:t>стей населения):</w:t>
      </w:r>
      <w:proofErr w:type="gramEnd"/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DC20E9" w:rsidRDefault="000467B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</w:t>
      </w:r>
      <w:r>
        <w:t>, характеризующие объект.</w:t>
      </w:r>
    </w:p>
    <w:p w:rsidR="00DC20E9" w:rsidRDefault="000467B3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</w:t>
      </w:r>
      <w:r>
        <w:t xml:space="preserve">е расчетных показателей по объектам местного значения и ссылки на нормы использованных документов для установления их значений. </w:t>
      </w:r>
    </w:p>
    <w:p w:rsidR="00DC20E9" w:rsidRDefault="000467B3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DC20E9">
        <w:tc>
          <w:tcPr>
            <w:tcW w:w="3539" w:type="dxa"/>
          </w:tcPr>
          <w:p w:rsidR="00DC20E9" w:rsidRDefault="000467B3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DC20E9" w:rsidRDefault="00DC20E9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DC20E9">
        <w:tc>
          <w:tcPr>
            <w:tcW w:w="3539" w:type="dxa"/>
          </w:tcPr>
          <w:p w:rsidR="00DC20E9" w:rsidRDefault="000467B3">
            <w:pPr>
              <w:spacing w:line="276" w:lineRule="auto"/>
            </w:pPr>
            <w:r>
              <w:t>Расчетные показатели объектов</w:t>
            </w:r>
            <w:r>
              <w:t xml:space="preserve">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</w:t>
            </w:r>
            <w:r>
              <w:t>ующей обеспеченности количеством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DC20E9">
        <w:tc>
          <w:tcPr>
            <w:tcW w:w="3539" w:type="dxa"/>
          </w:tcPr>
          <w:p w:rsidR="00DC20E9" w:rsidRDefault="000467B3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DC20E9">
        <w:tc>
          <w:tcPr>
            <w:tcW w:w="3539" w:type="dxa"/>
          </w:tcPr>
          <w:p w:rsidR="00DC20E9" w:rsidRDefault="000467B3">
            <w:pPr>
              <w:spacing w:line="276" w:lineRule="auto"/>
            </w:pPr>
            <w:r>
              <w:t xml:space="preserve">Расчетные показатели объектов </w:t>
            </w:r>
            <w:r>
              <w:lastRenderedPageBreak/>
              <w:t>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</w:pPr>
            <w:r>
              <w:lastRenderedPageBreak/>
              <w:t>Расчетные показател</w:t>
            </w:r>
            <w:r>
              <w:t xml:space="preserve">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</w:t>
            </w:r>
            <w:r>
              <w:lastRenderedPageBreak/>
              <w:t>объектов связи, общественного питания, торговли и бытового обслуживания установлены по предельным значениям расчетных показателей таких объектов в таблице 7.36 РНГП РК</w:t>
            </w:r>
          </w:p>
        </w:tc>
      </w:tr>
      <w:tr w:rsidR="00DC20E9">
        <w:tc>
          <w:tcPr>
            <w:tcW w:w="3539" w:type="dxa"/>
          </w:tcPr>
          <w:p w:rsidR="00DC20E9" w:rsidRDefault="000467B3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DC20E9">
        <w:tc>
          <w:tcPr>
            <w:tcW w:w="3539" w:type="dxa"/>
          </w:tcPr>
          <w:p w:rsidR="00DC20E9" w:rsidRDefault="000467B3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DC20E9" w:rsidRDefault="000467B3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</w:t>
            </w:r>
            <w:r>
              <w:t>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DC20E9" w:rsidRDefault="00DC20E9">
      <w:pPr>
        <w:shd w:val="clear" w:color="auto" w:fill="FFFFFF"/>
        <w:ind w:firstLine="539"/>
        <w:jc w:val="both"/>
        <w:textAlignment w:val="baseline"/>
      </w:pPr>
      <w:bookmarkStart w:id="31" w:name="_Toc483388323"/>
      <w:bookmarkStart w:id="32" w:name="_Toc467625458"/>
    </w:p>
    <w:p w:rsidR="00DC20E9" w:rsidRDefault="000467B3">
      <w:pPr>
        <w:spacing w:after="200" w:line="276" w:lineRule="auto"/>
      </w:pPr>
      <w:r>
        <w:br w:type="page"/>
      </w:r>
    </w:p>
    <w:p w:rsidR="00DC20E9" w:rsidRDefault="000467B3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>3.1.1. Действие расчетных показателей местных нормативов распространяется на всю территорию Голубинского сельского поселения на правоотношения, возникшие после вступления в силу местных норм</w:t>
      </w:r>
      <w:r>
        <w:t>ативов.</w:t>
      </w:r>
    </w:p>
    <w:bookmarkEnd w:id="34"/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</w:t>
      </w:r>
      <w:r>
        <w:t>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Голубинского сельского поселения, физическими и юридическими лицами, а также судебными органами, как основа</w:t>
      </w:r>
      <w:r>
        <w:t>ние для разрешения споров по вопросам градостроительной деятельности.</w:t>
      </w:r>
      <w:proofErr w:type="gramEnd"/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r>
        <w:t>Голубинского сельского поселения при осуществлении полномочий в области градо</w:t>
      </w:r>
      <w:r>
        <w:t>строительной деятельности по подготовке, согласованию и утверждению: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r>
        <w:rPr>
          <w:bCs/>
        </w:rPr>
        <w:t>Голубинского сельского поселения</w:t>
      </w:r>
      <w:r>
        <w:t>, изменений в генеральный план поселения;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</w:t>
      </w:r>
      <w:r>
        <w:t>я территории), предусматривающей размещение объектов местного значения сельского поселения;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>3) правил землепользования и застройки Голубинского сельского поселения, изменений в правила землепользования и застройки;</w:t>
      </w:r>
    </w:p>
    <w:p w:rsidR="00DC20E9" w:rsidRDefault="000467B3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</w:t>
      </w:r>
      <w:r>
        <w:t>рии;</w:t>
      </w:r>
    </w:p>
    <w:p w:rsidR="00DC20E9" w:rsidRDefault="000467B3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r>
        <w:rPr>
          <w:bCs/>
        </w:rPr>
        <w:t>Голубинского сельского поселения</w:t>
      </w:r>
      <w:r>
        <w:t>.</w:t>
      </w:r>
    </w:p>
    <w:p w:rsidR="00DC20E9" w:rsidRDefault="000467B3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</w:t>
      </w:r>
      <w:r>
        <w:t>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>Местные нормативы являются обязательными для разработчиков проектов генерального</w:t>
      </w:r>
      <w:r>
        <w:t xml:space="preserve"> плана </w:t>
      </w:r>
      <w:r>
        <w:rPr>
          <w:bCs/>
        </w:rPr>
        <w:t>Голубинского сельского поселения</w:t>
      </w:r>
      <w:r>
        <w:t>, внесения в него изменений, правил землепользования и застройки Голубинского сельского поселения, изменений в правила землепользования и застройки, документации по планировке территории.</w:t>
      </w:r>
    </w:p>
    <w:p w:rsidR="00DC20E9" w:rsidRDefault="000467B3">
      <w:pPr>
        <w:ind w:firstLine="539"/>
        <w:jc w:val="both"/>
        <w:textAlignment w:val="baseline"/>
      </w:pPr>
      <w:bookmarkStart w:id="37" w:name="_Hlk87124670"/>
      <w:r>
        <w:t>3.1.5. Местные нормативы явля</w:t>
      </w:r>
      <w:r>
        <w:t>ются источником информации для подготовки градостроительного плана земельного участка.</w:t>
      </w:r>
    </w:p>
    <w:bookmarkEnd w:id="37"/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r>
        <w:rPr>
          <w:bCs/>
        </w:rPr>
        <w:t>Голубинского сельского поселения</w:t>
      </w:r>
      <w:r>
        <w:t xml:space="preserve">; 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r>
        <w:rPr>
          <w:bCs/>
        </w:rPr>
        <w:t>Голубинского сельского поселения</w:t>
      </w:r>
      <w:r>
        <w:t>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>- физическими и юрид</w:t>
      </w:r>
      <w:r>
        <w:t xml:space="preserve">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генерального плана Голубинского сельского поселения</w:t>
      </w:r>
      <w:r>
        <w:t>, изменений в генеральный план поселения;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>об</w:t>
      </w:r>
      <w:r>
        <w:rPr>
          <w:color w:val="000000"/>
          <w:lang w:bidi="ru-RU"/>
        </w:rPr>
        <w:t xml:space="preserve">щественных обсуждений или </w:t>
      </w:r>
      <w:r>
        <w:t>публичных слушаний по проектам правил землепользования и застройки Голубинского сельского поселения, изменений в правила землепользования и застройки</w:t>
      </w:r>
      <w:bookmarkEnd w:id="38"/>
      <w:r>
        <w:t>;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</w:t>
      </w:r>
      <w:r>
        <w:t xml:space="preserve"> минимально допустимого уровня обеспеченности объектами местного значения населения </w:t>
      </w:r>
      <w:r>
        <w:rPr>
          <w:bCs/>
        </w:rPr>
        <w:t xml:space="preserve">Голубинского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DC20E9" w:rsidRDefault="000467B3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</w:t>
      </w:r>
      <w:r>
        <w:t xml:space="preserve">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Голубинского сельского поселения (далее – ГП), документации по планировке территории (далее – ДПТ), </w:t>
      </w:r>
      <w:r>
        <w:t>правил землепользования и застройки Голубинского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DC20E9" w:rsidRDefault="000467B3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DC20E9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0E9" w:rsidRDefault="000467B3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DC20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C20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C20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связи, общественного питания, торговли и бытового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C20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DC20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E9" w:rsidRDefault="000467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</w:t>
      </w:r>
      <w:r>
        <w:t>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</w:t>
      </w:r>
      <w:r>
        <w:t>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</w:t>
      </w:r>
      <w:r>
        <w:t>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</w:t>
      </w:r>
      <w:r>
        <w:t>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</w:t>
      </w:r>
      <w:r>
        <w:t>стного значения и нормы отвода земель для объекта таких параметров.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 xml:space="preserve"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</w:t>
      </w:r>
      <w:r>
        <w:t>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</w:t>
      </w:r>
      <w:r>
        <w:t>ональных зон в границах максимально допустимого уровня территориальной доступности этого объекта.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</w:t>
      </w:r>
      <w:r>
        <w:t>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</w:t>
      </w:r>
      <w:r>
        <w:t>ющие региональные нормативы градостроительного проектирования.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>3.2.5. Применение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</w:t>
      </w:r>
      <w:r>
        <w:t>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</w:t>
      </w:r>
      <w:r>
        <w:t>олнительно-распорядительный орган муниципального образования - администрация Бахчисарайского района Республики Крым.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отраженным в данном подразделе 3.2 МНГП АСП, следу</w:t>
      </w:r>
      <w:r>
        <w:t xml:space="preserve">ет руководствоваться положениями раздела 6 РНГП РК. </w:t>
      </w:r>
    </w:p>
    <w:p w:rsidR="00DC20E9" w:rsidRDefault="000467B3">
      <w:pPr>
        <w:shd w:val="clear" w:color="auto" w:fill="FFFFFF"/>
        <w:ind w:firstLine="540"/>
        <w:jc w:val="both"/>
        <w:textAlignment w:val="baseline"/>
      </w:pPr>
      <w:r>
        <w:t xml:space="preserve"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</w:t>
      </w:r>
      <w:r>
        <w:t xml:space="preserve">вводимыми взамен отмененных. </w:t>
      </w:r>
    </w:p>
    <w:p w:rsidR="00DC20E9" w:rsidRDefault="000467B3">
      <w:r>
        <w:br w:type="page"/>
      </w:r>
    </w:p>
    <w:p w:rsidR="00DC20E9" w:rsidRDefault="000467B3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DC20E9" w:rsidRDefault="000467B3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C20E9" w:rsidRDefault="000467B3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C20E9" w:rsidRDefault="000467B3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Голубинское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C20E9" w:rsidRDefault="000467B3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C20E9" w:rsidRDefault="000467B3">
      <w:pPr>
        <w:pStyle w:val="aff3"/>
        <w:rPr>
          <w:b/>
        </w:rPr>
      </w:pPr>
      <w:r>
        <w:t>Республики Крым</w:t>
      </w:r>
    </w:p>
    <w:p w:rsidR="00DC20E9" w:rsidRDefault="00DC20E9">
      <w:pPr>
        <w:pStyle w:val="aff3"/>
      </w:pPr>
    </w:p>
    <w:p w:rsidR="00DC20E9" w:rsidRDefault="000467B3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DC20E9" w:rsidRDefault="000467B3">
      <w:pPr>
        <w:pStyle w:val="affe"/>
        <w:spacing w:after="120"/>
        <w:rPr>
          <w:lang w:val="ru-RU"/>
        </w:rPr>
      </w:pPr>
      <w:r>
        <w:rPr>
          <w:lang w:val="ru-RU"/>
        </w:rPr>
        <w:t xml:space="preserve">В МНГП АСП применяются </w:t>
      </w:r>
      <w:r>
        <w:rPr>
          <w:lang w:val="ru-RU"/>
        </w:rPr>
        <w:t>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DC20E9">
        <w:tc>
          <w:tcPr>
            <w:tcW w:w="5000" w:type="pct"/>
            <w:gridSpan w:val="2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DC20E9"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DC20E9"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DC20E9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Голубинское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DC20E9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DC20E9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DC20E9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DC20E9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DC20E9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DC20E9" w:rsidRDefault="000467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DC20E9" w:rsidRDefault="000467B3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DC20E9" w:rsidRDefault="000467B3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DC20E9" w:rsidRDefault="000467B3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DC20E9" w:rsidRDefault="000467B3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DC20E9" w:rsidRDefault="000467B3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Голубинское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DC20E9" w:rsidRDefault="000467B3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DC20E9" w:rsidRDefault="000467B3">
      <w:pPr>
        <w:pStyle w:val="aff3"/>
        <w:rPr>
          <w:b/>
        </w:rPr>
      </w:pPr>
      <w:r>
        <w:t>Республики Крым</w:t>
      </w:r>
    </w:p>
    <w:p w:rsidR="00DC20E9" w:rsidRDefault="00DC20E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DC20E9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C20E9" w:rsidRDefault="000467B3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C20E9" w:rsidRDefault="000467B3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DC20E9" w:rsidRDefault="000467B3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DC20E9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DC20E9" w:rsidRDefault="000467B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DC20E9" w:rsidRDefault="000467B3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C20E9" w:rsidRDefault="000467B3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DC20E9" w:rsidRDefault="00DC20E9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DC20E9" w:rsidRDefault="00DC20E9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DC20E9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</w:t>
            </w:r>
            <w:r>
              <w:rPr>
                <w:rFonts w:ascii="Times New Roman" w:hAnsi="Times New Roman" w:cs="Times New Roman"/>
              </w:rPr>
              <w:t>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DC20E9" w:rsidRDefault="000467B3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</w:t>
            </w:r>
            <w:r>
              <w:rPr>
                <w:rFonts w:ascii="Times New Roman" w:hAnsi="Times New Roman" w:cs="Times New Roman"/>
              </w:rPr>
              <w:t>объектов местного значения</w:t>
            </w:r>
          </w:p>
        </w:tc>
      </w:tr>
      <w:tr w:rsidR="00DC20E9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DC20E9" w:rsidRDefault="000467B3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DC20E9" w:rsidRDefault="00DC20E9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DC20E9" w:rsidRDefault="000467B3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DC20E9" w:rsidRDefault="000467B3">
      <w:pPr>
        <w:pStyle w:val="1"/>
        <w:jc w:val="right"/>
      </w:pPr>
      <w:r>
        <w:t xml:space="preserve"> </w:t>
      </w:r>
    </w:p>
    <w:sectPr w:rsidR="00DC20E9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B3" w:rsidRDefault="000467B3">
      <w:r>
        <w:separator/>
      </w:r>
    </w:p>
  </w:endnote>
  <w:endnote w:type="continuationSeparator" w:id="0">
    <w:p w:rsidR="000467B3" w:rsidRDefault="0004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DC20E9" w:rsidRDefault="000467B3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EA2">
          <w:rPr>
            <w:noProof/>
          </w:rPr>
          <w:t>19</w:t>
        </w:r>
        <w:r>
          <w:fldChar w:fldCharType="end"/>
        </w:r>
      </w:p>
    </w:sdtContent>
  </w:sdt>
  <w:p w:rsidR="00DC20E9" w:rsidRDefault="00DC20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B3" w:rsidRDefault="000467B3">
      <w:r>
        <w:separator/>
      </w:r>
    </w:p>
  </w:footnote>
  <w:footnote w:type="continuationSeparator" w:id="0">
    <w:p w:rsidR="000467B3" w:rsidRDefault="0004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7B3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45DA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57B6C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813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1D26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2A4A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37F65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1EA2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E6357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13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2010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2AE3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2683D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20E9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717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62A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B30B-A031-44AC-A1F7-524A69F1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6182</Words>
  <Characters>35243</Characters>
  <Application>Microsoft Office Word</Application>
  <DocSecurity>0</DocSecurity>
  <Lines>293</Lines>
  <Paragraphs>82</Paragraphs>
  <ScaleCrop>false</ScaleCrop>
  <Company>diakov.net</Company>
  <LinksUpToDate>false</LinksUpToDate>
  <CharactersWithSpaces>41343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5</cp:revision>
  <cp:lastPrinted>2017-10-16T08:25:00Z</cp:lastPrinted>
  <dcterms:created xsi:type="dcterms:W3CDTF">2024-12-12T12:56:00Z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EDB39779336F415A974BEC42B530AD10_12</vt:lpwstr>
  </property>
</Properties>
</file>